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039A3" w:rsidRPr="002039A3" w:rsidTr="002039A3">
        <w:tc>
          <w:tcPr>
            <w:tcW w:w="4927" w:type="dxa"/>
          </w:tcPr>
          <w:p w:rsidR="002039A3" w:rsidRPr="002039A3" w:rsidRDefault="002039A3" w:rsidP="00203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928" w:type="dxa"/>
          </w:tcPr>
          <w:p w:rsidR="002039A3" w:rsidRPr="002039A3" w:rsidRDefault="002039A3" w:rsidP="00203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039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Додаток № 1 </w:t>
            </w:r>
          </w:p>
          <w:p w:rsidR="002039A3" w:rsidRPr="002039A3" w:rsidRDefault="002039A3" w:rsidP="00203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039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до протоколу № 1 Наглядової ради </w:t>
            </w:r>
          </w:p>
          <w:p w:rsidR="002039A3" w:rsidRPr="002039A3" w:rsidRDefault="002039A3" w:rsidP="00203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039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ПрАТ</w:t>
            </w:r>
            <w:proofErr w:type="spellEnd"/>
            <w:r w:rsidRPr="002039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«СК «ТАСТ-ГАРАНТІЯ»</w:t>
            </w:r>
          </w:p>
          <w:p w:rsidR="002039A3" w:rsidRPr="002039A3" w:rsidRDefault="002039A3" w:rsidP="002039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039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від 06.02.2019 р.</w:t>
            </w:r>
          </w:p>
        </w:tc>
      </w:tr>
      <w:tr w:rsidR="002039A3" w:rsidRPr="002039A3" w:rsidTr="002039A3">
        <w:tc>
          <w:tcPr>
            <w:tcW w:w="4927" w:type="dxa"/>
          </w:tcPr>
          <w:p w:rsidR="002039A3" w:rsidRPr="002039A3" w:rsidRDefault="002039A3" w:rsidP="00203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039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ЗАТВЕРДЖЕНО</w:t>
            </w:r>
          </w:p>
          <w:p w:rsidR="002039A3" w:rsidRPr="002039A3" w:rsidRDefault="002039A3" w:rsidP="00203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039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Рішенням Наглядової ради</w:t>
            </w:r>
          </w:p>
          <w:p w:rsidR="002039A3" w:rsidRPr="002039A3" w:rsidRDefault="002039A3" w:rsidP="00203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039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ПрАТ</w:t>
            </w:r>
            <w:proofErr w:type="spellEnd"/>
            <w:r w:rsidRPr="002039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«СК «ТАСТ-ГАРАНТІЯ»</w:t>
            </w:r>
          </w:p>
          <w:p w:rsidR="002039A3" w:rsidRPr="002039A3" w:rsidRDefault="002039A3" w:rsidP="00203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039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від 06.02.2019 р. (протокол № 1)</w:t>
            </w:r>
          </w:p>
        </w:tc>
        <w:tc>
          <w:tcPr>
            <w:tcW w:w="4928" w:type="dxa"/>
          </w:tcPr>
          <w:p w:rsidR="002039A3" w:rsidRPr="002039A3" w:rsidRDefault="002039A3" w:rsidP="002039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2039A3" w:rsidRPr="002039A3" w:rsidRDefault="002039A3" w:rsidP="002039A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</w:p>
    <w:p w:rsidR="009C1EEA" w:rsidRPr="002039A3" w:rsidRDefault="002039A3" w:rsidP="002039A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2039A3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І</w:t>
      </w:r>
      <w:r w:rsidR="009C1EEA" w:rsidRPr="002039A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НФОРМАЦІЙНЕ ОГОЛОШЕННЯ</w:t>
      </w:r>
    </w:p>
    <w:p w:rsidR="002039A3" w:rsidRPr="002039A3" w:rsidRDefault="009C1EEA" w:rsidP="002039A3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lang w:val="uk-UA"/>
        </w:rPr>
      </w:pPr>
      <w:r w:rsidRPr="002039A3">
        <w:rPr>
          <w:lang w:val="uk-UA" w:eastAsia="uk-UA"/>
        </w:rPr>
        <w:t xml:space="preserve">Приватне акціонерне товариство </w:t>
      </w:r>
      <w:r w:rsidR="002039A3">
        <w:rPr>
          <w:lang w:val="uk-UA" w:eastAsia="uk-UA"/>
        </w:rPr>
        <w:t>«Страхова компанія «ТАСТ-ГАРАНТІЯ»</w:t>
      </w:r>
      <w:r w:rsidRPr="002039A3">
        <w:rPr>
          <w:lang w:val="uk-UA" w:eastAsia="uk-UA"/>
        </w:rPr>
        <w:t xml:space="preserve"> </w:t>
      </w:r>
      <w:r w:rsidRPr="002039A3">
        <w:rPr>
          <w:lang w:val="uk-UA"/>
        </w:rPr>
        <w:t>оголошує конкурс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 w:rsidR="002425FA" w:rsidRPr="002039A3">
        <w:rPr>
          <w:lang w:val="uk-UA"/>
        </w:rPr>
        <w:t>.</w:t>
      </w:r>
    </w:p>
    <w:p w:rsidR="002039A3" w:rsidRPr="002039A3" w:rsidRDefault="002425FA" w:rsidP="002039A3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039A3">
        <w:rPr>
          <w:shd w:val="clear" w:color="auto" w:fill="FFFFFF"/>
          <w:lang w:val="uk-UA"/>
        </w:rPr>
        <w:t>Метою проведення конкурсу є відбір на конкурсних засадах аудиторської фірми для проведення аудиту фінансової звітності</w:t>
      </w:r>
      <w:r w:rsidRPr="002039A3">
        <w:rPr>
          <w:shd w:val="clear" w:color="auto" w:fill="FFFFFF"/>
        </w:rPr>
        <w:t> </w:t>
      </w:r>
      <w:proofErr w:type="spellStart"/>
      <w:r w:rsidRPr="002039A3">
        <w:rPr>
          <w:lang w:val="uk-UA" w:eastAsia="uk-UA"/>
        </w:rPr>
        <w:t>ПрАТ</w:t>
      </w:r>
      <w:proofErr w:type="spellEnd"/>
      <w:r w:rsidRPr="002039A3">
        <w:rPr>
          <w:lang w:val="uk-UA" w:eastAsia="uk-UA"/>
        </w:rPr>
        <w:t xml:space="preserve"> </w:t>
      </w:r>
      <w:r w:rsidR="00BE0AEE" w:rsidRPr="002039A3">
        <w:rPr>
          <w:lang w:val="uk-UA" w:eastAsia="uk-UA"/>
        </w:rPr>
        <w:t>«</w:t>
      </w:r>
      <w:r w:rsidR="002039A3">
        <w:rPr>
          <w:lang w:val="uk-UA" w:eastAsia="uk-UA"/>
        </w:rPr>
        <w:t>СК</w:t>
      </w:r>
      <w:r w:rsidRPr="002039A3">
        <w:rPr>
          <w:lang w:val="uk-UA" w:eastAsia="uk-UA"/>
        </w:rPr>
        <w:t xml:space="preserve"> «</w:t>
      </w:r>
      <w:r w:rsidR="002039A3">
        <w:rPr>
          <w:lang w:val="uk-UA" w:eastAsia="uk-UA"/>
        </w:rPr>
        <w:t>ТАСТ-ГАРАНТІЯ</w:t>
      </w:r>
      <w:r w:rsidRPr="002039A3">
        <w:rPr>
          <w:lang w:val="uk-UA" w:eastAsia="uk-UA"/>
        </w:rPr>
        <w:t>»</w:t>
      </w:r>
      <w:r w:rsidRPr="002039A3">
        <w:rPr>
          <w:lang w:val="uk-UA"/>
        </w:rPr>
        <w:t xml:space="preserve"> </w:t>
      </w:r>
      <w:r w:rsidRPr="002039A3">
        <w:rPr>
          <w:shd w:val="clear" w:color="auto" w:fill="FFFFFF"/>
          <w:lang w:val="uk-UA"/>
        </w:rPr>
        <w:t>відповідно до Міжнародних стандартів фінансової звітності (МСФЗ).</w:t>
      </w:r>
    </w:p>
    <w:p w:rsidR="002425FA" w:rsidRDefault="002425FA" w:rsidP="002039A3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2039A3">
        <w:rPr>
          <w:color w:val="000000" w:themeColor="text1"/>
          <w:shd w:val="clear" w:color="auto" w:fill="FFFFFF"/>
          <w:lang w:val="uk-UA"/>
        </w:rPr>
        <w:t>У конкурсі можуть брати участь аудиторські фірми, які відповідають вимогам, що встановлені Законом України «Про аудит фінансової звітності та аудиторську діяльність»</w:t>
      </w:r>
      <w:r w:rsidR="00553C75" w:rsidRPr="002039A3">
        <w:rPr>
          <w:color w:val="000000" w:themeColor="text1"/>
          <w:shd w:val="clear" w:color="auto" w:fill="FFFFFF"/>
          <w:lang w:val="uk-UA"/>
        </w:rPr>
        <w:t>,</w:t>
      </w:r>
      <w:r w:rsidRPr="002039A3">
        <w:rPr>
          <w:color w:val="000000" w:themeColor="text1"/>
          <w:shd w:val="clear" w:color="auto" w:fill="FFFFFF"/>
          <w:lang w:val="uk-UA"/>
        </w:rPr>
        <w:t xml:space="preserve"> зокрема щодо суб’єктів аудиторської діяльності при наданні послуг з обов’язкового аудиту фінансової звітності підприємств, а також умовам конкурсу</w:t>
      </w:r>
      <w:r w:rsidR="00553C75" w:rsidRPr="002039A3">
        <w:rPr>
          <w:color w:val="000000" w:themeColor="text1"/>
          <w:shd w:val="clear" w:color="auto" w:fill="FFFFFF"/>
          <w:lang w:val="uk-UA"/>
        </w:rPr>
        <w:t>.</w:t>
      </w:r>
    </w:p>
    <w:p w:rsidR="002039A3" w:rsidRPr="002039A3" w:rsidRDefault="002039A3" w:rsidP="002039A3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7633C7" w:rsidRPr="002039A3" w:rsidRDefault="00690897" w:rsidP="002039A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39A3">
        <w:rPr>
          <w:rFonts w:ascii="Times New Roman" w:hAnsi="Times New Roman"/>
          <w:b/>
          <w:sz w:val="24"/>
          <w:szCs w:val="24"/>
          <w:lang w:val="uk-UA"/>
        </w:rPr>
        <w:t>І</w:t>
      </w:r>
      <w:r w:rsidR="00EB7BB2" w:rsidRPr="002039A3">
        <w:rPr>
          <w:rFonts w:ascii="Times New Roman" w:hAnsi="Times New Roman"/>
          <w:b/>
          <w:sz w:val="24"/>
          <w:szCs w:val="24"/>
          <w:lang w:val="uk-UA"/>
        </w:rPr>
        <w:t>НФОРМАЦІЯ ПРО ЗАМОВНИКА</w:t>
      </w:r>
      <w:r w:rsidRPr="002039A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282"/>
        <w:gridCol w:w="5357"/>
      </w:tblGrid>
      <w:tr w:rsidR="00690897" w:rsidRPr="002039A3" w:rsidTr="002039A3">
        <w:tc>
          <w:tcPr>
            <w:tcW w:w="4282" w:type="dxa"/>
            <w:vAlign w:val="center"/>
          </w:tcPr>
          <w:p w:rsidR="00690897" w:rsidRPr="002039A3" w:rsidRDefault="00D77830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9A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Повне н</w:t>
            </w:r>
            <w:r w:rsidR="00690897" w:rsidRPr="002039A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айменування замовника:</w:t>
            </w:r>
          </w:p>
        </w:tc>
        <w:tc>
          <w:tcPr>
            <w:tcW w:w="5357" w:type="dxa"/>
          </w:tcPr>
          <w:p w:rsidR="00690897" w:rsidRPr="00E96DE4" w:rsidRDefault="00690897" w:rsidP="00203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Приватне акціонерне товариство </w:t>
            </w:r>
            <w:r w:rsidR="00BE0AEE"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«</w:t>
            </w:r>
            <w:r w:rsidR="002039A3"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Страхова компанія</w:t>
            </w:r>
            <w:r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«</w:t>
            </w:r>
            <w:r w:rsidR="002039A3"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ТАСТ-ГАРАНТІЯ</w:t>
            </w:r>
            <w:r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»</w:t>
            </w:r>
          </w:p>
        </w:tc>
      </w:tr>
      <w:tr w:rsidR="00D77830" w:rsidRPr="002039A3" w:rsidTr="002039A3">
        <w:tc>
          <w:tcPr>
            <w:tcW w:w="4282" w:type="dxa"/>
            <w:vAlign w:val="center"/>
          </w:tcPr>
          <w:p w:rsidR="00D77830" w:rsidRPr="002039A3" w:rsidRDefault="00D77830" w:rsidP="002039A3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Скорочене </w:t>
            </w:r>
            <w:r w:rsidRPr="002039A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найменування замовника:</w:t>
            </w:r>
          </w:p>
        </w:tc>
        <w:tc>
          <w:tcPr>
            <w:tcW w:w="5357" w:type="dxa"/>
          </w:tcPr>
          <w:p w:rsidR="00D77830" w:rsidRPr="00E96DE4" w:rsidRDefault="00D77830" w:rsidP="00203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ПрАТ</w:t>
            </w:r>
            <w:proofErr w:type="spellEnd"/>
            <w:r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BE0AEE"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«</w:t>
            </w:r>
            <w:r w:rsidR="002039A3"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СК</w:t>
            </w:r>
            <w:r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«</w:t>
            </w:r>
            <w:r w:rsidR="002039A3"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ТАСТ-ГАРАНТІЯ</w:t>
            </w:r>
            <w:r w:rsidRPr="00E96DE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»</w:t>
            </w:r>
          </w:p>
        </w:tc>
      </w:tr>
      <w:tr w:rsidR="00690897" w:rsidRPr="002039A3" w:rsidTr="002039A3">
        <w:tc>
          <w:tcPr>
            <w:tcW w:w="4282" w:type="dxa"/>
            <w:vAlign w:val="center"/>
          </w:tcPr>
          <w:p w:rsidR="00690897" w:rsidRPr="002039A3" w:rsidRDefault="00690897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9A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5357" w:type="dxa"/>
          </w:tcPr>
          <w:p w:rsidR="00690897" w:rsidRPr="00E96DE4" w:rsidRDefault="002039A3" w:rsidP="00203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6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13915014</w:t>
            </w:r>
          </w:p>
        </w:tc>
      </w:tr>
      <w:tr w:rsidR="00690897" w:rsidRPr="002039A3" w:rsidTr="002039A3">
        <w:tc>
          <w:tcPr>
            <w:tcW w:w="4282" w:type="dxa"/>
            <w:vAlign w:val="center"/>
          </w:tcPr>
          <w:p w:rsidR="00690897" w:rsidRPr="002039A3" w:rsidRDefault="00690897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9A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Місцезнаходження замовника:</w:t>
            </w:r>
          </w:p>
        </w:tc>
        <w:tc>
          <w:tcPr>
            <w:tcW w:w="5357" w:type="dxa"/>
          </w:tcPr>
          <w:p w:rsidR="00690897" w:rsidRPr="00E96DE4" w:rsidRDefault="002039A3" w:rsidP="00203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6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65039, м. Одеса, вул. Транспортна, буд. 3</w:t>
            </w:r>
          </w:p>
        </w:tc>
      </w:tr>
      <w:tr w:rsidR="006C3CCC" w:rsidRPr="002039A3" w:rsidTr="002039A3">
        <w:tc>
          <w:tcPr>
            <w:tcW w:w="4282" w:type="dxa"/>
            <w:vAlign w:val="center"/>
          </w:tcPr>
          <w:p w:rsidR="006C3CCC" w:rsidRPr="002039A3" w:rsidRDefault="006C3CCC" w:rsidP="002039A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Контакти замовника:</w:t>
            </w:r>
          </w:p>
        </w:tc>
        <w:tc>
          <w:tcPr>
            <w:tcW w:w="5357" w:type="dxa"/>
          </w:tcPr>
          <w:p w:rsidR="006C3CCC" w:rsidRPr="00E96DE4" w:rsidRDefault="002039A3" w:rsidP="00BA6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6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(048) </w:t>
            </w:r>
            <w:r w:rsidR="00BA698D" w:rsidRPr="00E96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752-82-54, (048) 752-82-50</w:t>
            </w:r>
          </w:p>
        </w:tc>
      </w:tr>
      <w:tr w:rsidR="00C23FEE" w:rsidRPr="002039A3" w:rsidTr="002039A3">
        <w:tc>
          <w:tcPr>
            <w:tcW w:w="4282" w:type="dxa"/>
            <w:vAlign w:val="center"/>
          </w:tcPr>
          <w:p w:rsidR="00C23FEE" w:rsidRPr="002039A3" w:rsidRDefault="00C23FEE" w:rsidP="002039A3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shd w:val="clear" w:color="auto" w:fill="FEFEFF"/>
                <w:lang w:val="uk-UA"/>
              </w:rPr>
              <w:t>Основні види діяльності:</w:t>
            </w:r>
          </w:p>
        </w:tc>
        <w:tc>
          <w:tcPr>
            <w:tcW w:w="5357" w:type="dxa"/>
          </w:tcPr>
          <w:p w:rsidR="00C23FEE" w:rsidRPr="00E96DE4" w:rsidRDefault="00C25B0A" w:rsidP="002039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6DE4">
              <w:rPr>
                <w:rFonts w:ascii="Times New Roman" w:hAnsi="Times New Roman"/>
                <w:b/>
                <w:sz w:val="24"/>
                <w:szCs w:val="24"/>
                <w:shd w:val="clear" w:color="auto" w:fill="FEFEFF"/>
                <w:lang w:val="uk-UA"/>
              </w:rPr>
              <w:t>65.12 – інші види страхування, крім страхування життя</w:t>
            </w:r>
          </w:p>
        </w:tc>
      </w:tr>
      <w:tr w:rsidR="00BC5622" w:rsidRPr="002039A3" w:rsidTr="002039A3">
        <w:tc>
          <w:tcPr>
            <w:tcW w:w="4282" w:type="dxa"/>
            <w:vAlign w:val="center"/>
          </w:tcPr>
          <w:p w:rsidR="00BC5622" w:rsidRPr="002039A3" w:rsidRDefault="00BC5622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EFF"/>
                <w:lang w:val="uk-UA"/>
              </w:rPr>
            </w:pPr>
            <w:r w:rsidRPr="002039A3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>Дані щодо діяльності та фінансового стану: </w:t>
            </w:r>
          </w:p>
        </w:tc>
        <w:tc>
          <w:tcPr>
            <w:tcW w:w="5357" w:type="dxa"/>
          </w:tcPr>
          <w:p w:rsidR="00BC5622" w:rsidRPr="002039A3" w:rsidRDefault="00BC5622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EFEFF"/>
                <w:lang w:val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Розміщені у загальному доступі на веб-сайті: </w:t>
            </w:r>
            <w:hyperlink r:id="rId8" w:history="1">
              <w:r w:rsidR="00BA698D" w:rsidRPr="003F6E20">
                <w:rPr>
                  <w:rStyle w:val="a6"/>
                  <w:rFonts w:ascii="Times New Roman" w:hAnsi="Times New Roman"/>
                  <w:sz w:val="24"/>
                  <w:szCs w:val="24"/>
                  <w:lang w:val="uk-UA" w:eastAsia="ru-RU"/>
                </w:rPr>
                <w:t>http://tast.com.ua/</w:t>
              </w:r>
            </w:hyperlink>
            <w:r w:rsidR="00BA69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D3688A" w:rsidRPr="002039A3" w:rsidRDefault="00D3688A" w:rsidP="002039A3">
      <w:pPr>
        <w:spacing w:after="0" w:line="240" w:lineRule="auto"/>
        <w:jc w:val="center"/>
        <w:rPr>
          <w:rStyle w:val="a5"/>
          <w:rFonts w:ascii="Times New Roman" w:hAnsi="Times New Roman"/>
          <w:color w:val="1F4E79" w:themeColor="accent1" w:themeShade="80"/>
          <w:sz w:val="24"/>
          <w:szCs w:val="24"/>
        </w:rPr>
      </w:pPr>
    </w:p>
    <w:p w:rsidR="00350931" w:rsidRDefault="00350931" w:rsidP="002039A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val="uk-UA"/>
        </w:rPr>
      </w:pPr>
      <w:r w:rsidRPr="002039A3">
        <w:rPr>
          <w:rStyle w:val="a5"/>
          <w:rFonts w:ascii="Times New Roman" w:hAnsi="Times New Roman"/>
          <w:sz w:val="24"/>
          <w:szCs w:val="24"/>
        </w:rPr>
        <w:t>УМОВИ ТА ПОРЯДОК ПРОВЕДЕННЯ КОНКУРСУ</w:t>
      </w:r>
      <w:r w:rsidR="00EB7BB2" w:rsidRPr="002039A3">
        <w:rPr>
          <w:rStyle w:val="a5"/>
          <w:rFonts w:ascii="Times New Roman" w:hAnsi="Times New Roman"/>
          <w:sz w:val="24"/>
          <w:szCs w:val="24"/>
          <w:lang w:val="uk-UA"/>
        </w:rPr>
        <w:t>:</w:t>
      </w:r>
    </w:p>
    <w:p w:rsidR="002039A3" w:rsidRPr="002039A3" w:rsidRDefault="002039A3" w:rsidP="002039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23FEE" w:rsidRPr="002039A3" w:rsidRDefault="00C23FEE" w:rsidP="002039A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39A3">
        <w:rPr>
          <w:rFonts w:ascii="Times New Roman" w:hAnsi="Times New Roman"/>
          <w:b/>
          <w:sz w:val="24"/>
          <w:szCs w:val="24"/>
          <w:lang w:val="uk-UA"/>
        </w:rPr>
        <w:t>Інформація про процедуру: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C23FEE" w:rsidRPr="002039A3" w:rsidTr="00DA5B9F">
        <w:tc>
          <w:tcPr>
            <w:tcW w:w="4390" w:type="dxa"/>
          </w:tcPr>
          <w:p w:rsidR="00C23FEE" w:rsidRPr="002039A3" w:rsidRDefault="00C23FEE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Дата оголошення конкурсу: </w:t>
            </w:r>
          </w:p>
        </w:tc>
        <w:tc>
          <w:tcPr>
            <w:tcW w:w="5239" w:type="dxa"/>
          </w:tcPr>
          <w:p w:rsidR="00C23FEE" w:rsidRPr="002039A3" w:rsidRDefault="005A2919" w:rsidP="005A2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2039A3" w:rsidRPr="0020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="001D56ED" w:rsidRPr="0020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лютого 2019 року </w:t>
            </w:r>
            <w:r w:rsidR="002039A3" w:rsidRPr="0020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1D56ED" w:rsidRPr="0020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</w:t>
            </w:r>
            <w:bookmarkStart w:id="0" w:name="_GoBack"/>
            <w:bookmarkEnd w:id="0"/>
          </w:p>
        </w:tc>
      </w:tr>
      <w:tr w:rsidR="00C23FEE" w:rsidRPr="002039A3" w:rsidTr="00DA5B9F">
        <w:tc>
          <w:tcPr>
            <w:tcW w:w="4390" w:type="dxa"/>
          </w:tcPr>
          <w:p w:rsidR="00C23FEE" w:rsidRPr="002039A3" w:rsidRDefault="001D56ED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Кінцевий строк</w:t>
            </w:r>
            <w:r w:rsidR="00C23FEE" w:rsidRPr="00203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приймання пропозицій:</w:t>
            </w:r>
          </w:p>
        </w:tc>
        <w:tc>
          <w:tcPr>
            <w:tcW w:w="5239" w:type="dxa"/>
          </w:tcPr>
          <w:p w:rsidR="00C23FEE" w:rsidRPr="002039A3" w:rsidRDefault="00DB4138" w:rsidP="0020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E40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837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2039A3" w:rsidRPr="0020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="001D56ED" w:rsidRPr="0020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лютого 2019 року 18:00</w:t>
            </w:r>
          </w:p>
        </w:tc>
      </w:tr>
      <w:tr w:rsidR="00692478" w:rsidRPr="002039A3" w:rsidTr="00DA5B9F">
        <w:tc>
          <w:tcPr>
            <w:tcW w:w="4390" w:type="dxa"/>
          </w:tcPr>
          <w:p w:rsidR="00692478" w:rsidRPr="002039A3" w:rsidRDefault="00692478" w:rsidP="00203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203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Дата рішення  щодо призначення аудитора:</w:t>
            </w:r>
          </w:p>
        </w:tc>
        <w:tc>
          <w:tcPr>
            <w:tcW w:w="5239" w:type="dxa"/>
          </w:tcPr>
          <w:p w:rsidR="00692478" w:rsidRPr="002039A3" w:rsidRDefault="002039A3" w:rsidP="00203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«28»</w:t>
            </w:r>
            <w:r w:rsidR="001D56ED" w:rsidRPr="00203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лютого 2019 року.</w:t>
            </w:r>
          </w:p>
        </w:tc>
      </w:tr>
    </w:tbl>
    <w:p w:rsidR="00B977C4" w:rsidRPr="002039A3" w:rsidRDefault="00B977C4" w:rsidP="002039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0931" w:rsidRPr="002039A3" w:rsidRDefault="00350931" w:rsidP="002039A3">
      <w:pPr>
        <w:spacing w:after="0" w:line="240" w:lineRule="auto"/>
        <w:rPr>
          <w:rStyle w:val="a7"/>
          <w:rFonts w:ascii="Times New Roman" w:hAnsi="Times New Roman"/>
          <w:b/>
          <w:bCs/>
          <w:i w:val="0"/>
          <w:sz w:val="24"/>
          <w:szCs w:val="24"/>
          <w:lang w:val="uk-UA"/>
        </w:rPr>
      </w:pPr>
      <w:r w:rsidRPr="002039A3">
        <w:rPr>
          <w:rStyle w:val="a7"/>
          <w:rFonts w:ascii="Times New Roman" w:hAnsi="Times New Roman"/>
          <w:b/>
          <w:bCs/>
          <w:i w:val="0"/>
          <w:sz w:val="24"/>
          <w:szCs w:val="24"/>
          <w:lang w:val="uk-UA"/>
        </w:rPr>
        <w:t>Інформація про послугу: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B977C4" w:rsidRPr="002039A3" w:rsidTr="00350931">
        <w:tc>
          <w:tcPr>
            <w:tcW w:w="4390" w:type="dxa"/>
          </w:tcPr>
          <w:p w:rsidR="00350931" w:rsidRPr="00E96DE4" w:rsidRDefault="00350931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DE4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Вид послуги:</w:t>
            </w:r>
          </w:p>
        </w:tc>
        <w:tc>
          <w:tcPr>
            <w:tcW w:w="5239" w:type="dxa"/>
          </w:tcPr>
          <w:p w:rsidR="00350931" w:rsidRPr="002039A3" w:rsidRDefault="00350931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обов’язкового аудиту фінансової звітності </w:t>
            </w:r>
            <w:proofErr w:type="spellStart"/>
            <w:r w:rsidR="002039A3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ПрАТ</w:t>
            </w:r>
            <w:proofErr w:type="spellEnd"/>
            <w:r w:rsidR="002039A3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«СК «ТАСТ-ГАРАНТІЯ»</w:t>
            </w:r>
            <w:r w:rsidR="00BA698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039A3">
              <w:rPr>
                <w:rFonts w:ascii="Times New Roman" w:hAnsi="Times New Roman"/>
                <w:sz w:val="24"/>
                <w:szCs w:val="24"/>
                <w:lang w:val="uk-UA"/>
              </w:rPr>
              <w:t>за 2018 рік</w:t>
            </w:r>
          </w:p>
        </w:tc>
      </w:tr>
      <w:tr w:rsidR="00F82CA3" w:rsidRPr="002039A3" w:rsidTr="00350931">
        <w:tc>
          <w:tcPr>
            <w:tcW w:w="4390" w:type="dxa"/>
          </w:tcPr>
          <w:p w:rsidR="00F82CA3" w:rsidRPr="00E96DE4" w:rsidRDefault="00F82CA3" w:rsidP="002039A3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</w:pPr>
            <w:r w:rsidRPr="00E96DE4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Місце надання послуг:</w:t>
            </w:r>
            <w:r w:rsidRPr="00E96D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 </w:t>
            </w:r>
          </w:p>
        </w:tc>
        <w:tc>
          <w:tcPr>
            <w:tcW w:w="5239" w:type="dxa"/>
          </w:tcPr>
          <w:p w:rsidR="00F82CA3" w:rsidRPr="002039A3" w:rsidRDefault="002039A3" w:rsidP="002039A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/>
              </w:rPr>
              <w:t>65039, м. Одеса, вул. Транспортна, буд. 3</w:t>
            </w:r>
          </w:p>
        </w:tc>
      </w:tr>
    </w:tbl>
    <w:p w:rsidR="00350931" w:rsidRPr="002039A3" w:rsidRDefault="00350931" w:rsidP="002039A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4390"/>
        <w:gridCol w:w="5240"/>
      </w:tblGrid>
      <w:tr w:rsidR="00B977C4" w:rsidRPr="005A2919" w:rsidTr="00C50BE7">
        <w:tc>
          <w:tcPr>
            <w:tcW w:w="4390" w:type="dxa"/>
            <w:vMerge w:val="restart"/>
          </w:tcPr>
          <w:p w:rsidR="00C50BE7" w:rsidRPr="00E96DE4" w:rsidRDefault="00C50BE7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DE4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Завдання з обов’язкового аудиту фінансової звітності:</w:t>
            </w:r>
          </w:p>
        </w:tc>
        <w:tc>
          <w:tcPr>
            <w:tcW w:w="5240" w:type="dxa"/>
          </w:tcPr>
          <w:p w:rsidR="00C50BE7" w:rsidRPr="002039A3" w:rsidRDefault="00C50BE7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Підтвердження річної фінансової звітності з метою надання до </w:t>
            </w:r>
            <w:r w:rsidR="00466332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НКЦПФР (звітність емітента)</w:t>
            </w:r>
            <w:r w:rsidR="00BA69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977C4" w:rsidRPr="005A2919" w:rsidTr="00C50BE7">
        <w:tc>
          <w:tcPr>
            <w:tcW w:w="4390" w:type="dxa"/>
            <w:vMerge/>
          </w:tcPr>
          <w:p w:rsidR="00C50BE7" w:rsidRPr="002039A3" w:rsidRDefault="00C50BE7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C50BE7" w:rsidRPr="002039A3" w:rsidRDefault="00C50BE7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Підтвердження річної фінансової звітності з </w:t>
            </w: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метою надання до </w:t>
            </w:r>
            <w:proofErr w:type="spellStart"/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Нацкомфінпослуг</w:t>
            </w:r>
            <w:proofErr w:type="spellEnd"/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(Аудиторський звіт щодо підтверджен</w:t>
            </w:r>
            <w:r w:rsidR="00466332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ня річної фінансової звітності)</w:t>
            </w:r>
            <w:r w:rsidR="00BA69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977C4" w:rsidRPr="005A2919" w:rsidTr="00C50BE7">
        <w:tc>
          <w:tcPr>
            <w:tcW w:w="4390" w:type="dxa"/>
            <w:vMerge/>
          </w:tcPr>
          <w:p w:rsidR="00C50BE7" w:rsidRPr="002039A3" w:rsidRDefault="00C50BE7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</w:tcPr>
          <w:p w:rsidR="00C50BE7" w:rsidRPr="002039A3" w:rsidRDefault="00C50BE7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Підтвердження річної спеціалізованої звітності страховика (Аудиторський звіт про надання впевненості щодо річних звітних даних страховика)</w:t>
            </w:r>
            <w:r w:rsidR="00BA69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350931" w:rsidRPr="002039A3" w:rsidRDefault="00350931" w:rsidP="00203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2A7404" w:rsidRPr="005A2919" w:rsidTr="00EB7BB2">
        <w:tc>
          <w:tcPr>
            <w:tcW w:w="4390" w:type="dxa"/>
            <w:vMerge w:val="restart"/>
          </w:tcPr>
          <w:p w:rsidR="002A7404" w:rsidRPr="00E96DE4" w:rsidRDefault="002A7404" w:rsidP="002039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96DE4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Учасники мають відповідати наступним вимогам:</w:t>
            </w:r>
          </w:p>
        </w:tc>
        <w:tc>
          <w:tcPr>
            <w:tcW w:w="5239" w:type="dxa"/>
          </w:tcPr>
          <w:p w:rsidR="002A7404" w:rsidRPr="002039A3" w:rsidRDefault="009B3070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A7404" w:rsidRPr="002039A3">
              <w:rPr>
                <w:rFonts w:ascii="Times New Roman" w:hAnsi="Times New Roman"/>
                <w:sz w:val="24"/>
                <w:szCs w:val="24"/>
                <w:lang w:val="uk-UA"/>
              </w:rPr>
              <w:t>ідповід</w:t>
            </w:r>
            <w:r w:rsidRPr="002039A3">
              <w:rPr>
                <w:rFonts w:ascii="Times New Roman" w:hAnsi="Times New Roman"/>
                <w:sz w:val="24"/>
                <w:szCs w:val="24"/>
                <w:lang w:val="uk-UA"/>
              </w:rPr>
              <w:t>ати</w:t>
            </w:r>
            <w:r w:rsidR="002A7404" w:rsidRPr="002039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вимогам, встановленим Законом України «Про аудит фінансової звітності та аудиторську діяльність» від 21.12.2017р. № 2258-</w:t>
            </w:r>
            <w:r w:rsidR="002A7404" w:rsidRPr="002039A3">
              <w:rPr>
                <w:rFonts w:ascii="Times New Roman" w:hAnsi="Times New Roman"/>
                <w:sz w:val="24"/>
                <w:szCs w:val="24"/>
              </w:rPr>
              <w:t>VIII</w:t>
            </w:r>
            <w:r w:rsidR="002A7404" w:rsidRPr="002039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Аудиторів, які можуть надавати послуги з обов’язкового аудиту фінансової звітності підприємств, що становлять суспільний інтерес</w:t>
            </w:r>
            <w:r w:rsidR="00BA698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A7404" w:rsidRPr="005A2919" w:rsidTr="00EB7BB2">
        <w:tc>
          <w:tcPr>
            <w:tcW w:w="4390" w:type="dxa"/>
            <w:vMerge/>
          </w:tcPr>
          <w:p w:rsidR="002A7404" w:rsidRPr="002039A3" w:rsidRDefault="002A7404" w:rsidP="002039A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39" w:type="dxa"/>
          </w:tcPr>
          <w:p w:rsidR="002A7404" w:rsidRPr="002039A3" w:rsidRDefault="002A7404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аудиторську фірму внесена до Реєстру аудиторів та суб’єктів аудиторської діяльності, які мають право проводити обов'язковий аудит фінансової звітності підприємств, щ</w:t>
            </w:r>
            <w:r w:rsidR="00466332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 становлять суспільний інтерес</w:t>
            </w:r>
            <w:r w:rsidR="00BA69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B3070" w:rsidRPr="005A2919" w:rsidTr="00EB7BB2">
        <w:tc>
          <w:tcPr>
            <w:tcW w:w="4390" w:type="dxa"/>
            <w:vMerge/>
          </w:tcPr>
          <w:p w:rsidR="009B3070" w:rsidRPr="002039A3" w:rsidRDefault="009B3070" w:rsidP="002039A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39" w:type="dxa"/>
          </w:tcPr>
          <w:p w:rsidR="009B3070" w:rsidRPr="002039A3" w:rsidRDefault="009B3070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 попередній річний звітний період сума винагороди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періоду, не перевищувала 15 відсотків загальної суми доходу від надання аудиторських послуг</w:t>
            </w:r>
            <w:r w:rsidR="00BA69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B3070" w:rsidRPr="002039A3" w:rsidTr="00EB7BB2">
        <w:tc>
          <w:tcPr>
            <w:tcW w:w="4390" w:type="dxa"/>
            <w:vMerge/>
          </w:tcPr>
          <w:p w:rsidR="009B3070" w:rsidRPr="002039A3" w:rsidRDefault="009B3070" w:rsidP="002039A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39" w:type="dxa"/>
          </w:tcPr>
          <w:p w:rsidR="009B3070" w:rsidRPr="002039A3" w:rsidRDefault="009B3070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Може забезпечити достатній рівень кваліфікації та досвіду аудиторів і персоналу, який залучається до надання послуг відповідно д</w:t>
            </w:r>
            <w:r w:rsidR="00466332" w:rsidRPr="002039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 міжнародних стандартів аудиту</w:t>
            </w:r>
            <w:r w:rsidR="00BA69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B3070" w:rsidRPr="005A2919" w:rsidTr="00EB7BB2">
        <w:tc>
          <w:tcPr>
            <w:tcW w:w="4390" w:type="dxa"/>
            <w:vMerge/>
          </w:tcPr>
          <w:p w:rsidR="009B3070" w:rsidRPr="002039A3" w:rsidRDefault="009B3070" w:rsidP="002039A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39" w:type="dxa"/>
          </w:tcPr>
          <w:p w:rsidR="009B3070" w:rsidRPr="002039A3" w:rsidRDefault="009B3070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F5F5F"/>
                <w:sz w:val="24"/>
                <w:szCs w:val="24"/>
                <w:shd w:val="clear" w:color="auto" w:fill="FFFFFF"/>
                <w:lang w:val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 основним місцем роботи має працювати не менше п’яти аудиторів із загальною чисельністю штатних кваліфікованих працівників, які залучаються до виконання завдань, не менше 10 осіб, з яких щонайменше дві особи повинні підтвердити кваліфікацію відповідно до статті 19 Закону або мати чинні сертифікати (дипломи) професійних організацій, що підтверджують високий рівень знань з міжнародних стандартів фінансової звітності</w:t>
            </w:r>
            <w:r w:rsidR="00BA69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A7404" w:rsidRPr="002039A3" w:rsidTr="00EB7BB2">
        <w:tc>
          <w:tcPr>
            <w:tcW w:w="4390" w:type="dxa"/>
            <w:vMerge/>
          </w:tcPr>
          <w:p w:rsidR="002A7404" w:rsidRPr="002039A3" w:rsidRDefault="002A7404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2A7404" w:rsidRPr="002039A3" w:rsidRDefault="002A7404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діяльності суб’єкта аудиторської діяльності на ринку аудиторських по</w:t>
            </w:r>
            <w:r w:rsidR="00466332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слуг становить не менше 5 років</w:t>
            </w:r>
            <w:r w:rsidR="00BA69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A7404" w:rsidRPr="002039A3" w:rsidTr="00EB7BB2">
        <w:tc>
          <w:tcPr>
            <w:tcW w:w="4390" w:type="dxa"/>
            <w:vMerge/>
          </w:tcPr>
          <w:p w:rsidR="002A7404" w:rsidRPr="002039A3" w:rsidRDefault="002A7404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2A7404" w:rsidRPr="002039A3" w:rsidRDefault="009B3070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Мати чинний договір страхування цивільно-правової відповідальності перед третіми особами, укладений відповідно до положень чинного законодавства</w:t>
            </w:r>
            <w:r w:rsidR="00BA69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A7404" w:rsidRPr="005A2919" w:rsidTr="00EB7BB2">
        <w:tc>
          <w:tcPr>
            <w:tcW w:w="4390" w:type="dxa"/>
            <w:vMerge/>
          </w:tcPr>
          <w:p w:rsidR="002A7404" w:rsidRPr="002039A3" w:rsidRDefault="002A7404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2A7404" w:rsidRPr="002039A3" w:rsidRDefault="002A7404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Мати досвід надання послуг щодо аудиту фінансової звітності відповідно до Міжнародних станда</w:t>
            </w:r>
            <w:r w:rsidR="009B3070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ртів аудиту та </w:t>
            </w:r>
            <w:r w:rsidR="009B3070" w:rsidRPr="002039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досвід проведення аудиту фінансов</w:t>
            </w:r>
            <w:r w:rsidR="00466332" w:rsidRPr="002039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ої звітності страхових компаній</w:t>
            </w:r>
            <w:r w:rsidR="00C25B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A7404" w:rsidRPr="002039A3" w:rsidTr="00EB7BB2">
        <w:tc>
          <w:tcPr>
            <w:tcW w:w="4390" w:type="dxa"/>
            <w:vMerge/>
          </w:tcPr>
          <w:p w:rsidR="002A7404" w:rsidRPr="002039A3" w:rsidRDefault="002A7404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2A7404" w:rsidRPr="002039A3" w:rsidRDefault="002A7404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мати стягнень з боку Аудиторської палати </w:t>
            </w: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України та Ради нагляду за </w:t>
            </w:r>
            <w:r w:rsidR="00466332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аудиторською діяльністю</w:t>
            </w:r>
            <w:r w:rsidR="00C25B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A7404" w:rsidRPr="005A2919" w:rsidTr="00EB7BB2">
        <w:tc>
          <w:tcPr>
            <w:tcW w:w="4390" w:type="dxa"/>
            <w:vMerge/>
          </w:tcPr>
          <w:p w:rsidR="002A7404" w:rsidRPr="002039A3" w:rsidRDefault="002A7404" w:rsidP="00203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2A7404" w:rsidRPr="002039A3" w:rsidRDefault="002A7404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мати фактів подання недостовірної звітності фінансовими установами, виявленими органами, які здійснюють державне регулювання ринків фінансових послуг, що підтверджена аудиторським висновком с</w:t>
            </w:r>
            <w:r w:rsidR="00466332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уб’єкта аудиторської діяльності</w:t>
            </w:r>
            <w:r w:rsidR="00BA69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E874FE" w:rsidRPr="002039A3" w:rsidRDefault="00E874FE" w:rsidP="002039A3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B977C4" w:rsidRPr="005A2919" w:rsidTr="00E874FE">
        <w:tc>
          <w:tcPr>
            <w:tcW w:w="4390" w:type="dxa"/>
            <w:vMerge w:val="restart"/>
          </w:tcPr>
          <w:p w:rsidR="00B977C4" w:rsidRPr="00E96DE4" w:rsidRDefault="00B977C4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DE4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Не допускаються до участі в конкурсі суб’єкти аудиторської діяльності, які:</w:t>
            </w:r>
          </w:p>
        </w:tc>
        <w:tc>
          <w:tcPr>
            <w:tcW w:w="5239" w:type="dxa"/>
          </w:tcPr>
          <w:p w:rsidR="00B977C4" w:rsidRPr="002039A3" w:rsidRDefault="00162BFA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="00B977C4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 відповідають вимогам Закону України </w:t>
            </w:r>
            <w:r w:rsidR="00F82CA3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="00B977C4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аудит фінансової звітності та аудиторську діяльність</w:t>
            </w:r>
            <w:r w:rsidR="00F82CA3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  <w:r w:rsidR="00C25B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977C4" w:rsidRPr="002039A3" w:rsidTr="00E874FE">
        <w:tc>
          <w:tcPr>
            <w:tcW w:w="4390" w:type="dxa"/>
            <w:vMerge/>
          </w:tcPr>
          <w:p w:rsidR="00B977C4" w:rsidRPr="002039A3" w:rsidRDefault="00B977C4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977C4" w:rsidRPr="002039A3" w:rsidRDefault="00162BFA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B977C4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одали до участі в конкурсі документи, що </w:t>
            </w:r>
            <w:r w:rsidR="00466332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містять недостовірну інформацію</w:t>
            </w:r>
            <w:r w:rsidR="00C25B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977C4" w:rsidRPr="002039A3" w:rsidTr="00E874FE">
        <w:tc>
          <w:tcPr>
            <w:tcW w:w="4390" w:type="dxa"/>
            <w:vMerge/>
          </w:tcPr>
          <w:p w:rsidR="00B977C4" w:rsidRPr="002039A3" w:rsidRDefault="00B977C4" w:rsidP="0020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977C4" w:rsidRPr="002039A3" w:rsidRDefault="00162BFA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B977C4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одали до участі у конкурсі пропозицію із п</w:t>
            </w:r>
            <w:r w:rsidR="00466332" w:rsidRPr="002039A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орушенням встановлених термінів</w:t>
            </w:r>
            <w:r w:rsidR="00C25B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B977C4" w:rsidRPr="002039A3" w:rsidRDefault="00B977C4" w:rsidP="002039A3">
      <w:pPr>
        <w:spacing w:after="120" w:line="240" w:lineRule="auto"/>
        <w:jc w:val="both"/>
        <w:rPr>
          <w:rStyle w:val="a5"/>
          <w:rFonts w:ascii="Times New Roman" w:hAnsi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B977C4" w:rsidRPr="005A2919" w:rsidTr="00B977C4">
        <w:tc>
          <w:tcPr>
            <w:tcW w:w="4390" w:type="dxa"/>
            <w:vMerge w:val="restart"/>
          </w:tcPr>
          <w:p w:rsidR="00B977C4" w:rsidRPr="00E96DE4" w:rsidRDefault="00B977C4" w:rsidP="002039A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</w:pPr>
            <w:r w:rsidRPr="00E96DE4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Пакет документів для участі у конкурсі повинен містити:</w:t>
            </w:r>
          </w:p>
        </w:tc>
        <w:tc>
          <w:tcPr>
            <w:tcW w:w="5239" w:type="dxa"/>
          </w:tcPr>
          <w:p w:rsidR="00B977C4" w:rsidRPr="002039A3" w:rsidRDefault="00AF5F93" w:rsidP="002039A3">
            <w:pPr>
              <w:suppressAutoHyphens w:val="0"/>
              <w:spacing w:before="100" w:beforeAutospacing="1"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Основні відомості про суб’єкта аудиторської діяльності</w:t>
            </w:r>
            <w:r w:rsidR="00B977C4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(реєстраційна інформація, види діял</w:t>
            </w:r>
            <w:r w:rsidR="00466332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ьності, посадові особи та інше)</w:t>
            </w:r>
            <w:r w:rsidR="00C25B0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B977C4" w:rsidRPr="002039A3" w:rsidTr="00B977C4">
        <w:tc>
          <w:tcPr>
            <w:tcW w:w="4390" w:type="dxa"/>
            <w:vMerge/>
          </w:tcPr>
          <w:p w:rsidR="00B977C4" w:rsidRPr="002039A3" w:rsidRDefault="00B977C4" w:rsidP="002039A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977C4" w:rsidRPr="002039A3" w:rsidRDefault="00162BFA" w:rsidP="002039A3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</w:t>
            </w:r>
            <w:r w:rsidR="00B977C4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аявність передбачених законодавством України ліцензій, свідоцтв</w:t>
            </w:r>
            <w:r w:rsidR="002425FA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 w:rsidR="00466332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сертифікатів та термін їх дії</w:t>
            </w:r>
            <w:r w:rsidR="00C25B0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B977C4" w:rsidRPr="002039A3" w:rsidTr="00B977C4">
        <w:tc>
          <w:tcPr>
            <w:tcW w:w="4390" w:type="dxa"/>
            <w:vMerge/>
          </w:tcPr>
          <w:p w:rsidR="00B977C4" w:rsidRPr="002039A3" w:rsidRDefault="00B977C4" w:rsidP="002039A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977C4" w:rsidRPr="002039A3" w:rsidRDefault="00162BFA" w:rsidP="002039A3">
            <w:pPr>
              <w:suppressAutoHyphens w:val="0"/>
              <w:spacing w:before="100" w:beforeAutospacing="1"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Ц</w:t>
            </w:r>
            <w:r w:rsidR="00B977C4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інова пропозиція щ</w:t>
            </w:r>
            <w:r w:rsidR="004172A6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одо розміру оплати за договором, </w:t>
            </w:r>
            <w:r w:rsidR="00B977C4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розрахунок вартості послуг</w:t>
            </w:r>
            <w:r w:rsidR="004172A6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та строк виконання</w:t>
            </w:r>
            <w:r w:rsidR="00C25B0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B977C4" w:rsidRPr="002039A3" w:rsidTr="00B977C4">
        <w:tc>
          <w:tcPr>
            <w:tcW w:w="4390" w:type="dxa"/>
            <w:vMerge/>
          </w:tcPr>
          <w:p w:rsidR="00B977C4" w:rsidRPr="002039A3" w:rsidRDefault="00B977C4" w:rsidP="002039A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977C4" w:rsidRPr="002039A3" w:rsidRDefault="00466332" w:rsidP="002039A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2039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Проект договору</w:t>
            </w:r>
            <w:r w:rsidR="00C25B0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AF5F93" w:rsidRPr="002039A3" w:rsidTr="00B977C4">
        <w:tc>
          <w:tcPr>
            <w:tcW w:w="4390" w:type="dxa"/>
            <w:vMerge/>
          </w:tcPr>
          <w:p w:rsidR="00AF5F93" w:rsidRPr="002039A3" w:rsidRDefault="00AF5F93" w:rsidP="002039A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AF5F93" w:rsidRPr="002039A3" w:rsidRDefault="00AF5F93" w:rsidP="00C25B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Лист-</w:t>
            </w:r>
            <w:r w:rsidR="00C25B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підтвердження</w:t>
            </w:r>
            <w:r w:rsidRPr="002039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 щодо відсутності обмежень надання аудиторських послуг суб’єктом аудиторської діяльності, який має право проводити обов’язковий аудит фінансової звітності підприємств, що становлять суспільний інтерес, визначених статтею 27 Закону України </w:t>
            </w:r>
            <w:r w:rsidR="00A62691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2039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аудит фінансової звітності та аудиторську діяльність</w:t>
            </w:r>
            <w:r w:rsidR="00A62691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C25B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B977C4" w:rsidRPr="002039A3" w:rsidTr="00B977C4">
        <w:tc>
          <w:tcPr>
            <w:tcW w:w="4390" w:type="dxa"/>
            <w:vMerge/>
          </w:tcPr>
          <w:p w:rsidR="00B977C4" w:rsidRPr="002039A3" w:rsidRDefault="00B977C4" w:rsidP="002039A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977C4" w:rsidRPr="002039A3" w:rsidRDefault="002425FA" w:rsidP="002039A3">
            <w:pPr>
              <w:suppressAutoHyphens w:val="0"/>
              <w:spacing w:before="100" w:beforeAutospacing="1"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2039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Інші документи, що підтверджують відповідність вищенаведе</w:t>
            </w:r>
            <w:r w:rsidR="00466332" w:rsidRPr="002039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ним вимогам конкурсного відбору</w:t>
            </w:r>
            <w:r w:rsidR="00C25B0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EA0612" w:rsidRPr="002039A3" w:rsidRDefault="00EA0612" w:rsidP="00C25B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F"/>
        </w:rPr>
      </w:pPr>
    </w:p>
    <w:p w:rsidR="00350931" w:rsidRPr="002039A3" w:rsidRDefault="00EA0612" w:rsidP="00C25B0A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bCs w:val="0"/>
          <w:color w:val="C00000"/>
          <w:sz w:val="24"/>
          <w:szCs w:val="24"/>
          <w:lang w:val="uk-UA"/>
        </w:rPr>
      </w:pPr>
      <w:r w:rsidRPr="002039A3">
        <w:rPr>
          <w:rFonts w:ascii="Times New Roman" w:hAnsi="Times New Roman"/>
          <w:sz w:val="24"/>
          <w:szCs w:val="24"/>
          <w:shd w:val="clear" w:color="auto" w:fill="FEFEFF"/>
          <w:lang w:val="uk-UA"/>
        </w:rPr>
        <w:t>Пропозиції д</w:t>
      </w:r>
      <w:r w:rsidR="006B6439" w:rsidRPr="002039A3">
        <w:rPr>
          <w:rFonts w:ascii="Times New Roman" w:hAnsi="Times New Roman"/>
          <w:sz w:val="24"/>
          <w:szCs w:val="24"/>
          <w:shd w:val="clear" w:color="auto" w:fill="FEFEFF"/>
          <w:lang w:val="uk-UA"/>
        </w:rPr>
        <w:t xml:space="preserve">ля участі в конкурсі від </w:t>
      </w:r>
      <w:r w:rsidR="00162BFA" w:rsidRPr="002039A3">
        <w:rPr>
          <w:rFonts w:ascii="Times New Roman" w:hAnsi="Times New Roman"/>
          <w:sz w:val="24"/>
          <w:szCs w:val="24"/>
          <w:lang w:val="uk-UA" w:eastAsia="uk-UA"/>
        </w:rPr>
        <w:t xml:space="preserve">суб’єктів аудиторської діяльності </w:t>
      </w:r>
      <w:r w:rsidR="006B6439" w:rsidRPr="002039A3">
        <w:rPr>
          <w:rFonts w:ascii="Times New Roman" w:hAnsi="Times New Roman"/>
          <w:sz w:val="24"/>
          <w:szCs w:val="24"/>
          <w:shd w:val="clear" w:color="auto" w:fill="FEFEFF"/>
          <w:lang w:val="uk-UA"/>
        </w:rPr>
        <w:t>приймаються на електронну адресу</w:t>
      </w:r>
      <w:r w:rsidRPr="002039A3">
        <w:rPr>
          <w:rFonts w:ascii="Times New Roman" w:hAnsi="Times New Roman"/>
          <w:sz w:val="24"/>
          <w:szCs w:val="24"/>
          <w:shd w:val="clear" w:color="auto" w:fill="FEFEFF"/>
          <w:lang w:val="uk-UA"/>
        </w:rPr>
        <w:t xml:space="preserve">: </w:t>
      </w:r>
      <w:hyperlink r:id="rId9" w:history="1">
        <w:r w:rsidR="00C25B0A" w:rsidRPr="003F6E20">
          <w:rPr>
            <w:rStyle w:val="a6"/>
            <w:rFonts w:ascii="Times New Roman" w:hAnsi="Times New Roman"/>
            <w:sz w:val="24"/>
            <w:szCs w:val="24"/>
          </w:rPr>
          <w:t>taco@tm.odessa.ua</w:t>
        </w:r>
      </w:hyperlink>
      <w:r w:rsidR="00C25B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39A3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</w:p>
    <w:p w:rsidR="00A046C2" w:rsidRPr="002039A3" w:rsidRDefault="00A046C2" w:rsidP="00C25B0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039A3">
        <w:rPr>
          <w:rFonts w:ascii="Times New Roman" w:hAnsi="Times New Roman"/>
          <w:sz w:val="24"/>
          <w:szCs w:val="24"/>
          <w:lang w:val="uk-UA" w:eastAsia="uk-UA"/>
        </w:rPr>
        <w:t xml:space="preserve">Додаткова інформація про діяльність </w:t>
      </w:r>
      <w:proofErr w:type="spellStart"/>
      <w:r w:rsidR="006B6439" w:rsidRPr="002039A3">
        <w:rPr>
          <w:rFonts w:ascii="Times New Roman" w:hAnsi="Times New Roman"/>
          <w:sz w:val="24"/>
          <w:szCs w:val="24"/>
          <w:lang w:val="uk-UA" w:eastAsia="uk-UA"/>
        </w:rPr>
        <w:t>ПрАТ</w:t>
      </w:r>
      <w:proofErr w:type="spellEnd"/>
      <w:r w:rsidR="006B6439" w:rsidRPr="002039A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25B0A">
        <w:rPr>
          <w:rFonts w:ascii="Times New Roman" w:hAnsi="Times New Roman"/>
          <w:sz w:val="24"/>
          <w:szCs w:val="24"/>
          <w:lang w:val="uk-UA" w:eastAsia="uk-UA"/>
        </w:rPr>
        <w:t>«СК «ТАСТ-ГАРАНТІЯ»</w:t>
      </w:r>
      <w:r w:rsidR="006B6439" w:rsidRPr="002039A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2039A3">
        <w:rPr>
          <w:rFonts w:ascii="Times New Roman" w:hAnsi="Times New Roman"/>
          <w:sz w:val="24"/>
          <w:szCs w:val="24"/>
          <w:lang w:val="uk-UA" w:eastAsia="uk-UA"/>
        </w:rPr>
        <w:t>може надаватись у разі необхідності та відповідно до запиту учасника конкурсу</w:t>
      </w:r>
      <w:r w:rsidR="006B6439" w:rsidRPr="002039A3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C25B0A" w:rsidRPr="00C25B0A" w:rsidRDefault="00A046C2" w:rsidP="00C25B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039A3">
        <w:rPr>
          <w:rFonts w:ascii="Times New Roman" w:hAnsi="Times New Roman"/>
          <w:sz w:val="24"/>
          <w:szCs w:val="24"/>
          <w:lang w:val="uk-UA" w:eastAsia="uk-UA"/>
        </w:rPr>
        <w:t xml:space="preserve">Контактна особа: </w:t>
      </w:r>
      <w:r w:rsidR="00C25B0A" w:rsidRPr="00C25B0A">
        <w:rPr>
          <w:rFonts w:ascii="Times New Roman" w:hAnsi="Times New Roman"/>
          <w:sz w:val="24"/>
          <w:szCs w:val="24"/>
          <w:lang w:val="uk-UA" w:eastAsia="ru-RU"/>
        </w:rPr>
        <w:t xml:space="preserve">Генеральний директор </w:t>
      </w:r>
      <w:proofErr w:type="spellStart"/>
      <w:r w:rsidR="00C25B0A" w:rsidRPr="00C25B0A">
        <w:rPr>
          <w:rFonts w:ascii="Times New Roman" w:hAnsi="Times New Roman"/>
          <w:sz w:val="24"/>
          <w:szCs w:val="24"/>
          <w:lang w:val="uk-UA" w:eastAsia="ru-RU"/>
        </w:rPr>
        <w:t>Пшеченко</w:t>
      </w:r>
      <w:proofErr w:type="spellEnd"/>
      <w:r w:rsidR="00C25B0A" w:rsidRPr="00C25B0A">
        <w:rPr>
          <w:rFonts w:ascii="Times New Roman" w:hAnsi="Times New Roman"/>
          <w:sz w:val="24"/>
          <w:szCs w:val="24"/>
          <w:lang w:val="uk-UA" w:eastAsia="ru-RU"/>
        </w:rPr>
        <w:t xml:space="preserve"> Наталія Петрівна (тел. 048-752-82-50).</w:t>
      </w:r>
    </w:p>
    <w:p w:rsidR="008158BB" w:rsidRPr="002039A3" w:rsidRDefault="0055312F" w:rsidP="00C25B0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039A3">
        <w:rPr>
          <w:rFonts w:ascii="Times New Roman" w:hAnsi="Times New Roman"/>
          <w:sz w:val="24"/>
          <w:szCs w:val="24"/>
          <w:lang w:val="uk-UA"/>
        </w:rPr>
        <w:t>Документи, що надійшли після встановленого строку або подані не в повному обсязі чи з порушенням умов конкурсу, не розглядатимуться.</w:t>
      </w:r>
    </w:p>
    <w:p w:rsidR="00C25B0A" w:rsidRDefault="008158BB" w:rsidP="00C25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039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Результати конкурсу будуть розглянуті органом, на який покладено функції аудиторського комітету.</w:t>
      </w:r>
    </w:p>
    <w:p w:rsidR="0055312F" w:rsidRPr="002039A3" w:rsidRDefault="008158BB" w:rsidP="00C25B0A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val="uk-UA"/>
        </w:rPr>
      </w:pPr>
      <w:r w:rsidRPr="002039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результати конкурсу повідомимо всіх учасників, що приймали участь, електронною поштою в термін </w:t>
      </w:r>
      <w:r w:rsidRPr="00C25B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не пізніше </w:t>
      </w:r>
      <w:r w:rsidR="00C25B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 w:rsidR="00F621C6" w:rsidRPr="00C25B0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01</w:t>
      </w:r>
      <w:r w:rsidR="00C25B0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»</w:t>
      </w:r>
      <w:r w:rsidR="00F621C6" w:rsidRPr="00C25B0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березня</w:t>
      </w:r>
      <w:r w:rsidRPr="00C25B0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20</w:t>
      </w:r>
      <w:r w:rsidR="00466332" w:rsidRPr="00C25B0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Pr="00C25B0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9 р.</w:t>
      </w:r>
      <w:r w:rsidR="001F11C5" w:rsidRPr="00C25B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sectPr w:rsidR="0055312F" w:rsidRPr="002039A3" w:rsidSect="00C25B0A">
      <w:footerReference w:type="default" r:id="rId10"/>
      <w:pgSz w:w="11906" w:h="16838"/>
      <w:pgMar w:top="1134" w:right="850" w:bottom="850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87" w:rsidRDefault="00CB2C87" w:rsidP="00162BFA">
      <w:pPr>
        <w:spacing w:after="0" w:line="240" w:lineRule="auto"/>
      </w:pPr>
      <w:r>
        <w:separator/>
      </w:r>
    </w:p>
  </w:endnote>
  <w:endnote w:type="continuationSeparator" w:id="0">
    <w:p w:rsidR="00CB2C87" w:rsidRDefault="00CB2C87" w:rsidP="0016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126586"/>
      <w:docPartObj>
        <w:docPartGallery w:val="Page Numbers (Bottom of Page)"/>
        <w:docPartUnique/>
      </w:docPartObj>
    </w:sdtPr>
    <w:sdtEndPr/>
    <w:sdtContent>
      <w:p w:rsidR="00162BFA" w:rsidRDefault="00162B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19">
          <w:rPr>
            <w:noProof/>
          </w:rPr>
          <w:t>1</w:t>
        </w:r>
        <w:r>
          <w:fldChar w:fldCharType="end"/>
        </w:r>
      </w:p>
    </w:sdtContent>
  </w:sdt>
  <w:p w:rsidR="00162BFA" w:rsidRDefault="00162B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87" w:rsidRDefault="00CB2C87" w:rsidP="00162BFA">
      <w:pPr>
        <w:spacing w:after="0" w:line="240" w:lineRule="auto"/>
      </w:pPr>
      <w:r>
        <w:separator/>
      </w:r>
    </w:p>
  </w:footnote>
  <w:footnote w:type="continuationSeparator" w:id="0">
    <w:p w:rsidR="00CB2C87" w:rsidRDefault="00CB2C87" w:rsidP="0016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050E"/>
    <w:multiLevelType w:val="multilevel"/>
    <w:tmpl w:val="44B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2594C"/>
    <w:multiLevelType w:val="multilevel"/>
    <w:tmpl w:val="028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353E9"/>
    <w:multiLevelType w:val="multilevel"/>
    <w:tmpl w:val="9CE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10B32"/>
    <w:multiLevelType w:val="multilevel"/>
    <w:tmpl w:val="492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D8"/>
    <w:rsid w:val="000216B7"/>
    <w:rsid w:val="00057AB4"/>
    <w:rsid w:val="000C1634"/>
    <w:rsid w:val="000C7000"/>
    <w:rsid w:val="000E192C"/>
    <w:rsid w:val="00157285"/>
    <w:rsid w:val="00162BFA"/>
    <w:rsid w:val="001B5742"/>
    <w:rsid w:val="001D56ED"/>
    <w:rsid w:val="001E4D03"/>
    <w:rsid w:val="001E7CEA"/>
    <w:rsid w:val="001F11C5"/>
    <w:rsid w:val="002039A3"/>
    <w:rsid w:val="00210EF3"/>
    <w:rsid w:val="002257B1"/>
    <w:rsid w:val="00230429"/>
    <w:rsid w:val="002425FA"/>
    <w:rsid w:val="002A7404"/>
    <w:rsid w:val="002E1361"/>
    <w:rsid w:val="002E460E"/>
    <w:rsid w:val="003003D8"/>
    <w:rsid w:val="00333237"/>
    <w:rsid w:val="00350931"/>
    <w:rsid w:val="003637B4"/>
    <w:rsid w:val="003826E0"/>
    <w:rsid w:val="003837ED"/>
    <w:rsid w:val="003F0978"/>
    <w:rsid w:val="003F4BDF"/>
    <w:rsid w:val="004108DA"/>
    <w:rsid w:val="00415A3F"/>
    <w:rsid w:val="004172A6"/>
    <w:rsid w:val="00466332"/>
    <w:rsid w:val="00534983"/>
    <w:rsid w:val="0055312F"/>
    <w:rsid w:val="00553C75"/>
    <w:rsid w:val="005A2919"/>
    <w:rsid w:val="00690897"/>
    <w:rsid w:val="00692478"/>
    <w:rsid w:val="00692D24"/>
    <w:rsid w:val="006B6439"/>
    <w:rsid w:val="006C3CCC"/>
    <w:rsid w:val="00744734"/>
    <w:rsid w:val="007633C7"/>
    <w:rsid w:val="00766F78"/>
    <w:rsid w:val="00771358"/>
    <w:rsid w:val="00812B32"/>
    <w:rsid w:val="008158BB"/>
    <w:rsid w:val="00837EC4"/>
    <w:rsid w:val="008F7B46"/>
    <w:rsid w:val="0093151A"/>
    <w:rsid w:val="009B3070"/>
    <w:rsid w:val="009C1EEA"/>
    <w:rsid w:val="00A046C2"/>
    <w:rsid w:val="00A374D8"/>
    <w:rsid w:val="00A62691"/>
    <w:rsid w:val="00A837B2"/>
    <w:rsid w:val="00AF5F93"/>
    <w:rsid w:val="00B16CAA"/>
    <w:rsid w:val="00B8450D"/>
    <w:rsid w:val="00B977C4"/>
    <w:rsid w:val="00BA698D"/>
    <w:rsid w:val="00BC5622"/>
    <w:rsid w:val="00BE0AEE"/>
    <w:rsid w:val="00C23FEE"/>
    <w:rsid w:val="00C25B0A"/>
    <w:rsid w:val="00C50BE7"/>
    <w:rsid w:val="00CA1543"/>
    <w:rsid w:val="00CB2C87"/>
    <w:rsid w:val="00CF2ADA"/>
    <w:rsid w:val="00D3688A"/>
    <w:rsid w:val="00D51E0C"/>
    <w:rsid w:val="00D55A1C"/>
    <w:rsid w:val="00D77830"/>
    <w:rsid w:val="00DA5B9F"/>
    <w:rsid w:val="00DB17A5"/>
    <w:rsid w:val="00DB4138"/>
    <w:rsid w:val="00DF7518"/>
    <w:rsid w:val="00E40B5C"/>
    <w:rsid w:val="00E46917"/>
    <w:rsid w:val="00E874FE"/>
    <w:rsid w:val="00E96DE4"/>
    <w:rsid w:val="00EA0612"/>
    <w:rsid w:val="00EB7BB2"/>
    <w:rsid w:val="00F333E6"/>
    <w:rsid w:val="00F621C6"/>
    <w:rsid w:val="00F736B4"/>
    <w:rsid w:val="00F82CA3"/>
    <w:rsid w:val="00FA0492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F3"/>
    <w:pPr>
      <w:suppressAutoHyphens/>
      <w:spacing w:after="200" w:line="276" w:lineRule="auto"/>
    </w:pPr>
    <w:rPr>
      <w:rFonts w:ascii="Calibri" w:eastAsia="Times New Roman" w:hAnsi="Calibri" w:cs="Times New Roman"/>
      <w:lang w:val="ru-RU" w:eastAsia="zh-CN"/>
    </w:rPr>
  </w:style>
  <w:style w:type="paragraph" w:styleId="3">
    <w:name w:val="heading 3"/>
    <w:basedOn w:val="a"/>
    <w:link w:val="30"/>
    <w:uiPriority w:val="9"/>
    <w:qFormat/>
    <w:rsid w:val="002425F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EE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table" w:styleId="a4">
    <w:name w:val="Table Grid"/>
    <w:basedOn w:val="a1"/>
    <w:uiPriority w:val="39"/>
    <w:rsid w:val="0069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0897"/>
    <w:rPr>
      <w:b/>
      <w:bCs/>
    </w:rPr>
  </w:style>
  <w:style w:type="character" w:styleId="a6">
    <w:name w:val="Hyperlink"/>
    <w:basedOn w:val="a0"/>
    <w:uiPriority w:val="99"/>
    <w:unhideWhenUsed/>
    <w:rsid w:val="006C3CCC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350931"/>
    <w:rPr>
      <w:i/>
      <w:iCs/>
    </w:rPr>
  </w:style>
  <w:style w:type="paragraph" w:styleId="a8">
    <w:name w:val="header"/>
    <w:basedOn w:val="a"/>
    <w:link w:val="a9"/>
    <w:uiPriority w:val="99"/>
    <w:unhideWhenUsed/>
    <w:rsid w:val="00162B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BFA"/>
    <w:rPr>
      <w:rFonts w:ascii="Calibri" w:eastAsia="Times New Roman" w:hAnsi="Calibri" w:cs="Times New Roman"/>
      <w:lang w:val="ru-RU" w:eastAsia="zh-CN"/>
    </w:rPr>
  </w:style>
  <w:style w:type="paragraph" w:styleId="aa">
    <w:name w:val="footer"/>
    <w:basedOn w:val="a"/>
    <w:link w:val="ab"/>
    <w:uiPriority w:val="99"/>
    <w:unhideWhenUsed/>
    <w:rsid w:val="00162B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BFA"/>
    <w:rPr>
      <w:rFonts w:ascii="Calibri" w:eastAsia="Times New Roman" w:hAnsi="Calibri" w:cs="Times New Roman"/>
      <w:lang w:val="ru-RU" w:eastAsia="zh-CN"/>
    </w:rPr>
  </w:style>
  <w:style w:type="paragraph" w:styleId="ac">
    <w:name w:val="Balloon Text"/>
    <w:basedOn w:val="a"/>
    <w:link w:val="ad"/>
    <w:uiPriority w:val="99"/>
    <w:semiHidden/>
    <w:unhideWhenUsed/>
    <w:rsid w:val="0069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2D24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rsid w:val="002425F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List Paragraph"/>
    <w:basedOn w:val="a"/>
    <w:uiPriority w:val="34"/>
    <w:qFormat/>
    <w:rsid w:val="00BA6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F3"/>
    <w:pPr>
      <w:suppressAutoHyphens/>
      <w:spacing w:after="200" w:line="276" w:lineRule="auto"/>
    </w:pPr>
    <w:rPr>
      <w:rFonts w:ascii="Calibri" w:eastAsia="Times New Roman" w:hAnsi="Calibri" w:cs="Times New Roman"/>
      <w:lang w:val="ru-RU" w:eastAsia="zh-CN"/>
    </w:rPr>
  </w:style>
  <w:style w:type="paragraph" w:styleId="3">
    <w:name w:val="heading 3"/>
    <w:basedOn w:val="a"/>
    <w:link w:val="30"/>
    <w:uiPriority w:val="9"/>
    <w:qFormat/>
    <w:rsid w:val="002425F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EE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table" w:styleId="a4">
    <w:name w:val="Table Grid"/>
    <w:basedOn w:val="a1"/>
    <w:uiPriority w:val="39"/>
    <w:rsid w:val="0069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0897"/>
    <w:rPr>
      <w:b/>
      <w:bCs/>
    </w:rPr>
  </w:style>
  <w:style w:type="character" w:styleId="a6">
    <w:name w:val="Hyperlink"/>
    <w:basedOn w:val="a0"/>
    <w:uiPriority w:val="99"/>
    <w:unhideWhenUsed/>
    <w:rsid w:val="006C3CCC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350931"/>
    <w:rPr>
      <w:i/>
      <w:iCs/>
    </w:rPr>
  </w:style>
  <w:style w:type="paragraph" w:styleId="a8">
    <w:name w:val="header"/>
    <w:basedOn w:val="a"/>
    <w:link w:val="a9"/>
    <w:uiPriority w:val="99"/>
    <w:unhideWhenUsed/>
    <w:rsid w:val="00162B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BFA"/>
    <w:rPr>
      <w:rFonts w:ascii="Calibri" w:eastAsia="Times New Roman" w:hAnsi="Calibri" w:cs="Times New Roman"/>
      <w:lang w:val="ru-RU" w:eastAsia="zh-CN"/>
    </w:rPr>
  </w:style>
  <w:style w:type="paragraph" w:styleId="aa">
    <w:name w:val="footer"/>
    <w:basedOn w:val="a"/>
    <w:link w:val="ab"/>
    <w:uiPriority w:val="99"/>
    <w:unhideWhenUsed/>
    <w:rsid w:val="00162B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BFA"/>
    <w:rPr>
      <w:rFonts w:ascii="Calibri" w:eastAsia="Times New Roman" w:hAnsi="Calibri" w:cs="Times New Roman"/>
      <w:lang w:val="ru-RU" w:eastAsia="zh-CN"/>
    </w:rPr>
  </w:style>
  <w:style w:type="paragraph" w:styleId="ac">
    <w:name w:val="Balloon Text"/>
    <w:basedOn w:val="a"/>
    <w:link w:val="ad"/>
    <w:uiPriority w:val="99"/>
    <w:semiHidden/>
    <w:unhideWhenUsed/>
    <w:rsid w:val="0069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2D24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rsid w:val="002425F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List Paragraph"/>
    <w:basedOn w:val="a"/>
    <w:uiPriority w:val="34"/>
    <w:qFormat/>
    <w:rsid w:val="00BA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t.com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co@tm.odess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</dc:creator>
  <cp:lastModifiedBy>Olga</cp:lastModifiedBy>
  <cp:revision>7</cp:revision>
  <cp:lastPrinted>2019-01-17T13:26:00Z</cp:lastPrinted>
  <dcterms:created xsi:type="dcterms:W3CDTF">2019-02-04T09:36:00Z</dcterms:created>
  <dcterms:modified xsi:type="dcterms:W3CDTF">2019-02-07T08:49:00Z</dcterms:modified>
</cp:coreProperties>
</file>